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05" w:rsidRPr="00206551" w:rsidRDefault="00504A05" w:rsidP="00504A05">
      <w:pPr>
        <w:spacing w:before="56" w:after="0" w:line="276" w:lineRule="auto"/>
        <w:ind w:left="2832" w:right="1094" w:firstLine="708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206551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Załącznik Nr 4 </w:t>
      </w:r>
      <w:r w:rsidRPr="00206551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  <w:r w:rsidRPr="00206551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206551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206551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504A05" w:rsidRPr="004940FE" w:rsidRDefault="00504A05" w:rsidP="00504A05">
      <w:pPr>
        <w:spacing w:before="56" w:after="0" w:line="276" w:lineRule="auto"/>
        <w:ind w:left="2124"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504A05" w:rsidRDefault="00504A05" w:rsidP="00504A05">
      <w:pPr>
        <w:spacing w:after="0" w:line="276" w:lineRule="auto"/>
        <w:ind w:right="510"/>
        <w:jc w:val="both"/>
        <w:rPr>
          <w:rFonts w:asciiTheme="majorHAnsi" w:eastAsia="Calibri" w:hAnsiTheme="majorHAnsi" w:cs="Calibri"/>
          <w:b/>
          <w:bCs/>
          <w:noProof/>
          <w:sz w:val="40"/>
          <w:szCs w:val="40"/>
          <w14:ligatures w14:val="none"/>
        </w:rPr>
      </w:pPr>
    </w:p>
    <w:p w:rsidR="00504A05" w:rsidRPr="00A52798" w:rsidRDefault="00504A05" w:rsidP="00504A05">
      <w:pPr>
        <w:spacing w:after="0" w:line="276" w:lineRule="auto"/>
        <w:ind w:right="510"/>
        <w:jc w:val="both"/>
        <w:rPr>
          <w:rFonts w:asciiTheme="majorHAnsi" w:eastAsia="Calibri" w:hAnsiTheme="majorHAnsi" w:cs="Calibri"/>
          <w:noProof/>
          <w:kern w:val="0"/>
          <w:sz w:val="40"/>
          <w:szCs w:val="40"/>
          <w14:ligatures w14:val="none"/>
        </w:rPr>
      </w:pPr>
      <w:r w:rsidRPr="00A52798">
        <w:rPr>
          <w:rFonts w:asciiTheme="majorHAnsi" w:eastAsia="Calibri" w:hAnsiTheme="majorHAnsi" w:cs="Calibri"/>
          <w:b/>
          <w:bCs/>
          <w:noProof/>
          <w:sz w:val="40"/>
          <w:szCs w:val="40"/>
          <w14:ligatures w14:val="none"/>
        </w:rPr>
        <w:t>Zasady zatrudniania pracowników w</w:t>
      </w:r>
      <w:r w:rsidRPr="00A52798">
        <w:rPr>
          <w:rFonts w:asciiTheme="majorHAnsi" w:eastAsia="Calibri" w:hAnsiTheme="majorHAnsi" w:cs="Calibri"/>
          <w:b/>
          <w:bCs/>
          <w:noProof/>
          <w:kern w:val="0"/>
          <w:sz w:val="40"/>
          <w:szCs w:val="40"/>
          <w14:ligatures w14:val="none"/>
        </w:rPr>
        <w:t xml:space="preserve"> Miejskim Przedszkolu Nr 3 w Zielonce</w:t>
      </w:r>
      <w:r w:rsidRPr="00A52798">
        <w:rPr>
          <w:rFonts w:asciiTheme="majorHAnsi" w:eastAsia="Calibri" w:hAnsiTheme="majorHAnsi" w:cs="Calibri"/>
          <w:noProof/>
          <w:kern w:val="0"/>
          <w:sz w:val="40"/>
          <w:szCs w:val="40"/>
          <w14:ligatures w14:val="none"/>
        </w:rPr>
        <w:t xml:space="preserve"> </w:t>
      </w:r>
      <w:r w:rsidRPr="00A52798">
        <w:rPr>
          <w:rFonts w:asciiTheme="majorHAnsi" w:eastAsia="Calibri" w:hAnsiTheme="majorHAnsi" w:cs="Calibri"/>
          <w:b/>
          <w:bCs/>
          <w:noProof/>
          <w:sz w:val="40"/>
          <w:szCs w:val="40"/>
          <w14:ligatures w14:val="none"/>
        </w:rPr>
        <w:t>oraz dopuszczania innych osób do opieki nad dziećmi</w:t>
      </w:r>
    </w:p>
    <w:p w:rsidR="00504A05" w:rsidRPr="00A52798" w:rsidRDefault="00504A05" w:rsidP="00504A05">
      <w:pPr>
        <w:spacing w:after="0" w:line="276" w:lineRule="auto"/>
        <w:ind w:left="426" w:right="510"/>
        <w:contextualSpacing/>
        <w:rPr>
          <w:rFonts w:asciiTheme="majorHAnsi" w:eastAsia="Calibri" w:hAnsiTheme="majorHAnsi" w:cs="Calibri"/>
          <w:b/>
          <w:bCs/>
          <w:noProof/>
          <w:color w:val="7030A0"/>
          <w:sz w:val="24"/>
          <w:szCs w:val="24"/>
          <w14:ligatures w14:val="none"/>
        </w:rPr>
      </w:pP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Dyrektor przedszkola przed nawiązaniem stosunku pracy, niezależnie od podstawy nawiązania stosunku pracy (Karta Nauczyciela, Kodeks pracy) oraz terminu jej trwania uzyskuje informacje:</w:t>
      </w:r>
    </w:p>
    <w:p w:rsidR="00504A05" w:rsidRPr="00A52798" w:rsidRDefault="00504A05" w:rsidP="00504A05">
      <w:pPr>
        <w:numPr>
          <w:ilvl w:val="0"/>
          <w:numId w:val="2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w przypadku każdego pracownika, wolontariusza, praktykanta z Krajowego Rejestru Karnego </w:t>
      </w: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</w:t>
      </w: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;</w:t>
      </w:r>
    </w:p>
    <w:p w:rsidR="00504A05" w:rsidRPr="00A52798" w:rsidRDefault="00504A05" w:rsidP="00504A05">
      <w:pPr>
        <w:numPr>
          <w:ilvl w:val="0"/>
          <w:numId w:val="2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w przypadku zatrudnienia osoby na stanowisku pedagogicznym, w tym praktykantów i wolontariuszy dopuszczonych do pracy z dziećmi zaświadczenie z Rejestru Orzeczeń Dyscyplinarnych dla Nauczycieli;</w:t>
      </w:r>
    </w:p>
    <w:p w:rsidR="00504A05" w:rsidRPr="00A52798" w:rsidRDefault="00504A05" w:rsidP="00504A05">
      <w:pPr>
        <w:numPr>
          <w:ilvl w:val="0"/>
          <w:numId w:val="2"/>
        </w:numPr>
        <w:spacing w:after="0" w:line="276" w:lineRule="auto"/>
        <w:ind w:right="141"/>
        <w:contextualSpacing/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w przypadku zatrudnienia każdej osoby w przedszkolu i dopuszczeniem wolontariuszy lub praktykantów do kontaktu z dziećmi i opieki nad nimi z Rejestru Sprawców Przestępstw na Tle Seksualnym z dostępem ograniczonym.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Nie jest wymagane przedstawienie zaświadczeń w przypadku,</w:t>
      </w:r>
      <w:r w:rsidRPr="00A52798">
        <w:rPr>
          <w:rFonts w:asciiTheme="majorHAnsi" w:eastAsia="Calibri" w:hAnsiTheme="majorHAnsi" w:cs="Calibri"/>
          <w:i/>
          <w:iCs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gdy z </w:t>
      </w:r>
      <w:hyperlink r:id="rId5" w:anchor="P2A6" w:tgtFrame="ostatnia" w:history="1">
        <w:r w:rsidRPr="00A52798">
          <w:rPr>
            <w:rFonts w:asciiTheme="majorHAnsi" w:eastAsia="Calibri" w:hAnsiTheme="majorHAnsi" w:cs="Calibri"/>
            <w:sz w:val="24"/>
            <w:szCs w:val="24"/>
            <w:u w:val="single"/>
            <w14:ligatures w14:val="none"/>
          </w:rPr>
          <w:t>nauczycielem</w:t>
        </w:r>
      </w:hyperlink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 jest nawiązywany kolejny stosunek pracy w tym samym przedszkolu w ciągu 3 miesięcy od dnia rozwiązania albo wygaśnięcia na podstawie art. 20 ust. 5c poprzedniego stosunku pracy.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Pracownicy zatrudnieni na stanowiskach pedagogicznych składają przed nawiązaniem stosunku pracy pisemne potwierdzenie spełniania warunku:</w:t>
      </w:r>
    </w:p>
    <w:p w:rsidR="00504A05" w:rsidRPr="00A52798" w:rsidRDefault="00504A05" w:rsidP="00504A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posiadania pełnej zdolności do czynności prawnych i korzystania z praw publicznych;</w:t>
      </w:r>
    </w:p>
    <w:p w:rsidR="00504A05" w:rsidRPr="00A52798" w:rsidRDefault="00504A05" w:rsidP="00504A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że nie toczy się przeciwko kandydatowi postępowanie karne w sprawie o umyślne przestępstwo ścigane z oskarżenia publicznego lub postępowanie dyscyplinarne.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W przypadku zatrudniania kandydata do pracy lub dopuszczenia do kontaktu </w:t>
      </w: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br/>
        <w:t xml:space="preserve">z dziećmi osoby posiadającej obywatelstwo innego państwa jest on zobowiązany do złożenia przed zatrudnieniem lub dopuszczeniem do kontaktu z dziećmi informacji z rejestru karnego państwa, którego jest obywatelem, uzyskiwanej do celów działalności zawodowej lub </w:t>
      </w:r>
      <w:proofErr w:type="spellStart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wolontariackiej</w:t>
      </w:r>
      <w:proofErr w:type="spellEnd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 związanej z kontaktami z dziećmi.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lastRenderedPageBreak/>
        <w:t xml:space="preserve">W przypadku, gdy </w:t>
      </w: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prawo państwa, którego jest osoba, o której mowa w pkt 4 nie przewiduje wydawania informacji do celów działalności zawodowej lub </w:t>
      </w:r>
      <w:proofErr w:type="spellStart"/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wolontariackiej</w:t>
      </w:r>
      <w:proofErr w:type="spellEnd"/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 związanej z kontaktami z dziećmi, osoba ta przedkłada się informację z rejestru karnego tego państwa.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W przypadku, gdy prawo państwa, z którego ma być przedłożona informacja, o której mowa w ust. 4–5, nie przewiduje jej sporządzenia lub w danym państwie nie prowadzi się rejestru karnego, osoba, o której mowa w pkt 5 </w:t>
      </w:r>
      <w:r w:rsidRPr="00A52798">
        <w:rPr>
          <w:rFonts w:asciiTheme="majorHAnsi" w:eastAsia="Times New Roman" w:hAnsiTheme="majorHAnsi" w:cs="Calibri"/>
          <w:b/>
          <w:bCs/>
          <w:sz w:val="24"/>
          <w:szCs w:val="24"/>
          <w:lang w:eastAsia="pl-PL"/>
          <w14:ligatures w14:val="none"/>
        </w:rPr>
        <w:t xml:space="preserve">, </w:t>
      </w: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składa pracodawcy oświadczenie o tym fakcie </w:t>
      </w:r>
      <w:r w:rsidRPr="00A52798">
        <w:rPr>
          <w:rFonts w:asciiTheme="majorHAnsi" w:eastAsia="Times New Roman" w:hAnsiTheme="majorHAnsi" w:cs="Calibri"/>
          <w:sz w:val="24"/>
          <w:szCs w:val="24"/>
          <w:shd w:val="clear" w:color="auto" w:fill="FFFFFF" w:themeFill="background1"/>
          <w:lang w:eastAsia="pl-PL"/>
          <w14:ligatures w14:val="none"/>
        </w:rPr>
        <w:t xml:space="preserve">wraz </w:t>
      </w: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oraz, że nie wydano wobec niej innego orzeczenia, w którym stwierdzono, iż dopuściła się takich czynów zabronionych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Oświadczenia, o których mowa w pkt 6, składane są pod rygorem odpowiedzialności karnej za złożenie fałszywego oświadczenia. Składający oświadczenie jest obowiązany do zawarcia w nim klauzuli następującej treści: „</w:t>
      </w:r>
      <w:r w:rsidRPr="00A52798">
        <w:rPr>
          <w:rFonts w:asciiTheme="majorHAnsi" w:eastAsia="Times New Roman" w:hAnsiTheme="majorHAnsi" w:cs="Calibri"/>
          <w:i/>
          <w:iCs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 w:rsidRPr="00A52798">
        <w:rPr>
          <w:rFonts w:asciiTheme="majorHAnsi" w:eastAsia="Times New Roman" w:hAnsiTheme="majorHAnsi" w:cs="Calibri"/>
          <w:b/>
          <w:bCs/>
          <w:i/>
          <w:iCs/>
          <w:sz w:val="24"/>
          <w:szCs w:val="24"/>
          <w:lang w:eastAsia="pl-PL"/>
          <w14:ligatures w14:val="none"/>
        </w:rPr>
        <w:t>”.</w:t>
      </w: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 Klauzula ta zastępuje pouczenie organu o odpowiedzialności karnej za złożenie fałszywego oświadczenia.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Informacje, o których mowa w pkt 4 – 7, pracodawca utrwala w formie wydruku                                                       i załącza do akt osobowych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 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Informacje oraz oświadczenia, o których mowa w pkt 5 - 8, pracodawca załącza do akt osobowych pracownika albo dokumentacji dotyczącej osoby dopuszczonej do takiej działalności.</w:t>
      </w:r>
    </w:p>
    <w:p w:rsidR="00504A05" w:rsidRPr="00A52798" w:rsidRDefault="00504A05" w:rsidP="00504A05">
      <w:pPr>
        <w:numPr>
          <w:ilvl w:val="0"/>
          <w:numId w:val="1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Zatrudniani pracownicy, praktykanci i </w:t>
      </w:r>
      <w:proofErr w:type="spellStart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wolonatriusze</w:t>
      </w:r>
      <w:proofErr w:type="spellEnd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 przed rozpoczęciem pracy lub dopuszczeniem do kontaktu z dziećmi są zobowiązani do zapoznania się z: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Statutem przedszkola, 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Regulaminem pracy,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 xml:space="preserve">Standardami ochrony dzieci obowiązującymi w Miejskim Przedszkolu nr 3  w Zielonce, 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Procedurą „Niebieskiej Karty”,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Regulaminami i instrukcjami bhp i p/</w:t>
      </w:r>
      <w:proofErr w:type="spellStart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poż</w:t>
      </w:r>
      <w:proofErr w:type="spellEnd"/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,</w:t>
      </w:r>
    </w:p>
    <w:p w:rsidR="00504A05" w:rsidRPr="00A52798" w:rsidRDefault="00504A05" w:rsidP="00504A05">
      <w:pPr>
        <w:numPr>
          <w:ilvl w:val="0"/>
          <w:numId w:val="3"/>
        </w:numPr>
        <w:spacing w:after="0" w:line="276" w:lineRule="auto"/>
        <w:ind w:right="141"/>
        <w:contextualSpacing/>
        <w:jc w:val="both"/>
        <w:outlineLvl w:val="4"/>
        <w:rPr>
          <w:rFonts w:asciiTheme="majorHAnsi" w:eastAsia="Calibri" w:hAnsiTheme="majorHAnsi" w:cs="Calibri"/>
          <w:sz w:val="24"/>
          <w:szCs w:val="24"/>
          <w14:ligatures w14:val="none"/>
        </w:rPr>
      </w:pPr>
      <w:r w:rsidRPr="00A52798">
        <w:rPr>
          <w:rFonts w:asciiTheme="majorHAnsi" w:eastAsia="Calibri" w:hAnsiTheme="majorHAnsi" w:cs="Calibri"/>
          <w:sz w:val="24"/>
          <w:szCs w:val="24"/>
          <w14:ligatures w14:val="none"/>
        </w:rPr>
        <w:t>Polityką bezpieczeństwa przetwarzania danych osobowych.</w:t>
      </w: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lastRenderedPageBreak/>
        <w:t xml:space="preserve">Potwierdzenie zapoznania się z w/w dokumentami oraz oświadczenia o zobowiązaniu się do ich przestrzegania składane jest w formie pisemnej i umieszczone w aktach osobowych lub dołączane do umów o świadczenie działalności </w:t>
      </w:r>
      <w:proofErr w:type="spellStart"/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>wolontariackiej</w:t>
      </w:r>
      <w:proofErr w:type="spellEnd"/>
      <w:r w:rsidRPr="00A52798"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  <w:t xml:space="preserve"> lub praktyki zawodowej.</w:t>
      </w: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</w:p>
    <w:p w:rsidR="00504A05" w:rsidRPr="00A52798" w:rsidRDefault="00504A05" w:rsidP="00504A05">
      <w:pPr>
        <w:jc w:val="both"/>
        <w:rPr>
          <w:rFonts w:asciiTheme="majorHAnsi" w:eastAsia="Times New Roman" w:hAnsiTheme="majorHAnsi" w:cs="Calibri"/>
          <w:sz w:val="24"/>
          <w:szCs w:val="24"/>
          <w:lang w:eastAsia="pl-PL"/>
          <w14:ligatures w14:val="none"/>
        </w:rPr>
      </w:pPr>
    </w:p>
    <w:p w:rsidR="00504A05" w:rsidRPr="00A52798" w:rsidRDefault="00504A05" w:rsidP="00504A05">
      <w:pPr>
        <w:spacing w:after="0" w:line="276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rPr>
          <w:rFonts w:asciiTheme="majorHAnsi" w:hAnsiTheme="majorHAnsi" w:cs="Calibri"/>
          <w:sz w:val="24"/>
          <w:szCs w:val="24"/>
        </w:rPr>
      </w:pPr>
      <w:bookmarkStart w:id="0" w:name="_GoBack"/>
      <w:bookmarkEnd w:id="0"/>
    </w:p>
    <w:p w:rsidR="00504A05" w:rsidRPr="00A52798" w:rsidRDefault="00504A05" w:rsidP="00504A05">
      <w:pPr>
        <w:spacing w:after="0" w:line="276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jc w:val="center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Oświadczenie o niekaralności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Ja niżej podpisana/y .........................................................................................................................................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(imię i nazwisko)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nr PESEL …………………………………........................................................................................................................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Zamieszkała/y ...................................................................................................................................................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(adres zamieszkania)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oświadczam, że: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- nie byłam/em karana/y za przestępstwo popełnione umyślnie lub przestępstwo skarbowe;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- nie jest prowadzone przeciwko mnie postępowanie o przestępstwo ścigane z oskarżenia publicznego lub przestępstwo skarbowe;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-nie byłam(-em) skazana(-y) za przestępstwo przeciwko wolności seksualnej i obyczajności,                         i przestępstwa z użyciem przemocy na szkodę małoletniego i nie toczy się przeciwko mnie żadne postępowanie karne ani dyscyplinarne w tym zakresie;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-nie zostałam(-em) skazana(-y) prawomocnym wyrokiem za przestępstwa umyślne;</w:t>
      </w:r>
    </w:p>
    <w:p w:rsidR="00504A05" w:rsidRPr="00A52798" w:rsidRDefault="00504A05" w:rsidP="00504A05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- korzystam w pełni z praw publicznych i posiadam pełną zdolność do czynności prawnych.</w:t>
      </w:r>
    </w:p>
    <w:p w:rsidR="00504A05" w:rsidRPr="00A52798" w:rsidRDefault="00504A05" w:rsidP="00504A05">
      <w:pPr>
        <w:jc w:val="both"/>
        <w:rPr>
          <w:rFonts w:asciiTheme="majorHAnsi" w:eastAsia="Calibri" w:hAnsiTheme="majorHAnsi" w:cs="Times New Roman"/>
          <w14:ligatures w14:val="none"/>
        </w:rPr>
      </w:pPr>
    </w:p>
    <w:p w:rsidR="00504A05" w:rsidRPr="00A52798" w:rsidRDefault="00504A05" w:rsidP="00504A05">
      <w:pPr>
        <w:jc w:val="both"/>
        <w:rPr>
          <w:rFonts w:asciiTheme="majorHAnsi" w:hAnsiTheme="majorHAnsi" w:cs="Arial"/>
          <w:sz w:val="24"/>
          <w:szCs w:val="24"/>
        </w:rPr>
      </w:pPr>
    </w:p>
    <w:p w:rsidR="00504A05" w:rsidRPr="00A52798" w:rsidRDefault="00504A05" w:rsidP="00504A05">
      <w:pPr>
        <w:jc w:val="both"/>
        <w:rPr>
          <w:rFonts w:asciiTheme="majorHAnsi" w:hAnsiTheme="majorHAnsi" w:cs="Arial"/>
          <w:sz w:val="24"/>
          <w:szCs w:val="24"/>
        </w:rPr>
      </w:pPr>
    </w:p>
    <w:p w:rsidR="00504A05" w:rsidRPr="00A52798" w:rsidRDefault="00504A05" w:rsidP="00504A05">
      <w:pPr>
        <w:jc w:val="both"/>
        <w:rPr>
          <w:rFonts w:asciiTheme="majorHAnsi" w:hAnsiTheme="majorHAnsi" w:cs="Arial"/>
          <w:sz w:val="24"/>
          <w:szCs w:val="24"/>
        </w:rPr>
      </w:pPr>
    </w:p>
    <w:p w:rsidR="00504A05" w:rsidRPr="00A52798" w:rsidRDefault="00504A05" w:rsidP="00504A05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/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332"/>
    <w:multiLevelType w:val="hybridMultilevel"/>
    <w:tmpl w:val="047ED6D8"/>
    <w:lvl w:ilvl="0" w:tplc="D4EACA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05"/>
    <w:rsid w:val="00504A05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344"/>
  <w15:chartTrackingRefBased/>
  <w15:docId w15:val="{73C5A93F-9EFF-4932-B4A9-D98D439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A0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21-07-2020&amp;qplik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2025-02-24T14:32:00Z</dcterms:created>
  <dcterms:modified xsi:type="dcterms:W3CDTF">2025-02-24T14:32:00Z</dcterms:modified>
</cp:coreProperties>
</file>