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720" w:rsidRPr="00206551" w:rsidRDefault="00F93720" w:rsidP="00F93720">
      <w:pPr>
        <w:spacing w:before="56" w:after="0" w:line="276" w:lineRule="auto"/>
        <w:ind w:left="2832" w:right="1094" w:firstLine="708"/>
        <w:jc w:val="right"/>
        <w:rPr>
          <w:rFonts w:asciiTheme="majorHAnsi" w:eastAsia="Calibri" w:hAnsiTheme="majorHAnsi" w:cstheme="minorHAnsi"/>
          <w:i/>
          <w:sz w:val="18"/>
          <w:szCs w:val="18"/>
          <w14:ligatures w14:val="none"/>
        </w:rPr>
      </w:pPr>
      <w:r w:rsidRPr="00206551">
        <w:rPr>
          <w:rFonts w:asciiTheme="majorHAnsi" w:eastAsia="Calibri" w:hAnsiTheme="majorHAnsi" w:cstheme="minorHAnsi"/>
          <w:i/>
          <w:sz w:val="18"/>
          <w:szCs w:val="18"/>
          <w14:ligatures w14:val="none"/>
        </w:rPr>
        <w:t xml:space="preserve">Załącznik Nr 2 </w:t>
      </w:r>
      <w:r w:rsidRPr="00206551">
        <w:rPr>
          <w:rFonts w:asciiTheme="majorHAnsi" w:eastAsia="Calibri" w:hAnsiTheme="majorHAnsi" w:cstheme="minorHAnsi"/>
          <w:i/>
          <w:spacing w:val="-34"/>
          <w:sz w:val="18"/>
          <w:szCs w:val="18"/>
          <w14:ligatures w14:val="none"/>
        </w:rPr>
        <w:t xml:space="preserve"> </w:t>
      </w:r>
      <w:r w:rsidRPr="00206551">
        <w:rPr>
          <w:rFonts w:asciiTheme="majorHAnsi" w:eastAsia="Calibri" w:hAnsiTheme="majorHAnsi" w:cstheme="minorHAnsi"/>
          <w:i/>
          <w:sz w:val="18"/>
          <w:szCs w:val="18"/>
          <w14:ligatures w14:val="none"/>
        </w:rPr>
        <w:t>do</w:t>
      </w:r>
      <w:r w:rsidRPr="00206551">
        <w:rPr>
          <w:rFonts w:asciiTheme="majorHAnsi" w:eastAsia="Calibri" w:hAnsiTheme="majorHAnsi" w:cstheme="minorHAnsi"/>
          <w:i/>
          <w:spacing w:val="-4"/>
          <w:sz w:val="18"/>
          <w:szCs w:val="18"/>
          <w14:ligatures w14:val="none"/>
        </w:rPr>
        <w:t xml:space="preserve"> </w:t>
      </w:r>
      <w:r w:rsidRPr="00206551">
        <w:rPr>
          <w:rFonts w:asciiTheme="majorHAnsi" w:eastAsia="Calibri" w:hAnsiTheme="majorHAnsi" w:cstheme="minorHAnsi"/>
          <w:i/>
          <w:sz w:val="18"/>
          <w:szCs w:val="18"/>
          <w14:ligatures w14:val="none"/>
        </w:rPr>
        <w:t xml:space="preserve">Standardów ochrony dzieci </w:t>
      </w:r>
    </w:p>
    <w:p w:rsidR="00F93720" w:rsidRPr="00206551" w:rsidRDefault="00F93720" w:rsidP="00F93720">
      <w:pPr>
        <w:spacing w:before="56" w:after="0" w:line="276" w:lineRule="auto"/>
        <w:ind w:left="2124" w:right="1094"/>
        <w:jc w:val="right"/>
        <w:rPr>
          <w:rFonts w:asciiTheme="majorHAnsi" w:eastAsia="Calibri" w:hAnsiTheme="majorHAnsi" w:cstheme="minorHAnsi"/>
          <w:i/>
          <w:sz w:val="18"/>
          <w:szCs w:val="18"/>
          <w14:ligatures w14:val="none"/>
        </w:rPr>
      </w:pPr>
      <w:r w:rsidRPr="00206551">
        <w:rPr>
          <w:rFonts w:asciiTheme="majorHAnsi" w:eastAsia="Calibri" w:hAnsiTheme="majorHAnsi" w:cstheme="minorHAnsi"/>
          <w:i/>
          <w:sz w:val="18"/>
          <w:szCs w:val="18"/>
          <w14:ligatures w14:val="none"/>
        </w:rPr>
        <w:t>w Miejskim Przedszkolu nr 3 w Zielonce</w:t>
      </w:r>
    </w:p>
    <w:p w:rsidR="00F93720" w:rsidRPr="00206551" w:rsidRDefault="00F93720" w:rsidP="00F93720">
      <w:pPr>
        <w:jc w:val="both"/>
        <w:rPr>
          <w:rFonts w:asciiTheme="majorHAnsi" w:hAnsiTheme="majorHAnsi" w:cs="Arial"/>
          <w:sz w:val="24"/>
          <w:szCs w:val="24"/>
        </w:rPr>
      </w:pPr>
    </w:p>
    <w:p w:rsidR="00F93720" w:rsidRPr="00206551" w:rsidRDefault="00F93720" w:rsidP="00F93720">
      <w:pPr>
        <w:jc w:val="both"/>
        <w:rPr>
          <w:rFonts w:asciiTheme="majorHAnsi" w:hAnsiTheme="majorHAnsi" w:cs="Arial"/>
          <w:b/>
          <w:bCs/>
          <w:sz w:val="40"/>
          <w:szCs w:val="40"/>
        </w:rPr>
      </w:pPr>
      <w:r w:rsidRPr="00206551">
        <w:rPr>
          <w:rFonts w:asciiTheme="majorHAnsi" w:hAnsiTheme="majorHAnsi" w:cs="Arial"/>
          <w:b/>
          <w:bCs/>
          <w:sz w:val="40"/>
          <w:szCs w:val="40"/>
        </w:rPr>
        <w:t>SYMPTOMY KRZYWDZENIA DZIECKA</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Symptomy krzywdzenia dziecka – jak rozpoznać?</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 z dnia 28 lipca 2023 r. o zmianie ustawy – Kodeks rodzinny i opiekuńczy oraz niektórych innych ustaw (Dz. U. z 2023 r., poz. 1606). Zgodnie z nią: „Przemoc domowa to jednorazowe albo powtarzające się umyślne działanie lub zaniechanie, wykorzystujące przewagę fizyczną, psychiczną lub ekonomiczną, naruszające prawa lub dobra osobiste osoby doznającej przemocy domowej, w szczególności: 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Tym samym przemoc domowa obejmuje: przemoc fizyczną, przemoc psychiczną (często nazywaną emocjonalną), przemoc seksualną, przemoc ekonomiczną, cyberprzemoc. Jak pokazują badania rzadko zdarza się, aby występował tylko jeden rodzaj przemocy. Najczęściej te rodzaje przemocy przenikają się wzajemnie i wywołują podobne skutki.</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Co powinno wzbudzić uwagę nauczyciela, wychowawcy, jak może objawiać się krzywdzenie dziecka czy przemocy domowej?</w:t>
      </w:r>
    </w:p>
    <w:p w:rsidR="00F93720" w:rsidRDefault="00F93720" w:rsidP="00F93720">
      <w:pPr>
        <w:jc w:val="both"/>
        <w:rPr>
          <w:rFonts w:asciiTheme="majorHAnsi" w:hAnsiTheme="majorHAnsi" w:cs="Arial"/>
          <w:sz w:val="24"/>
          <w:szCs w:val="24"/>
        </w:rPr>
      </w:pPr>
      <w:r w:rsidRPr="00206551">
        <w:rPr>
          <w:rFonts w:asciiTheme="majorHAnsi" w:hAnsiTheme="majorHAnsi" w:cs="Arial"/>
          <w:sz w:val="24"/>
          <w:szCs w:val="24"/>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Symptomy krzywdzenia dzieci – podział:</w:t>
      </w:r>
    </w:p>
    <w:p w:rsidR="00F93720" w:rsidRPr="00206551" w:rsidRDefault="00F93720" w:rsidP="00F93720">
      <w:pPr>
        <w:pStyle w:val="Akapitzlist"/>
        <w:numPr>
          <w:ilvl w:val="0"/>
          <w:numId w:val="1"/>
        </w:numPr>
        <w:jc w:val="both"/>
        <w:rPr>
          <w:rFonts w:asciiTheme="majorHAnsi" w:hAnsiTheme="majorHAnsi" w:cs="Arial"/>
          <w:sz w:val="24"/>
          <w:szCs w:val="24"/>
        </w:rPr>
      </w:pPr>
      <w:r w:rsidRPr="00206551">
        <w:rPr>
          <w:rFonts w:asciiTheme="majorHAnsi" w:hAnsiTheme="majorHAnsi" w:cs="Arial"/>
          <w:sz w:val="24"/>
          <w:szCs w:val="24"/>
        </w:rPr>
        <w:t>fizyczne – które można zauważyć na ciele dziecka</w:t>
      </w:r>
    </w:p>
    <w:p w:rsidR="00F93720" w:rsidRPr="00206551" w:rsidRDefault="00F93720" w:rsidP="00F93720">
      <w:pPr>
        <w:pStyle w:val="Akapitzlist"/>
        <w:numPr>
          <w:ilvl w:val="0"/>
          <w:numId w:val="1"/>
        </w:numPr>
        <w:jc w:val="both"/>
        <w:rPr>
          <w:rFonts w:asciiTheme="majorHAnsi" w:hAnsiTheme="majorHAnsi" w:cs="Arial"/>
          <w:sz w:val="24"/>
          <w:szCs w:val="24"/>
        </w:rPr>
      </w:pPr>
      <w:r w:rsidRPr="00206551">
        <w:rPr>
          <w:rFonts w:asciiTheme="majorHAnsi" w:hAnsiTheme="majorHAnsi" w:cs="Arial"/>
          <w:sz w:val="24"/>
          <w:szCs w:val="24"/>
        </w:rPr>
        <w:t>emocjonalne</w:t>
      </w:r>
    </w:p>
    <w:p w:rsidR="00F93720" w:rsidRPr="00206551" w:rsidRDefault="00F93720" w:rsidP="00F93720">
      <w:pPr>
        <w:pStyle w:val="Akapitzlist"/>
        <w:numPr>
          <w:ilvl w:val="0"/>
          <w:numId w:val="1"/>
        </w:numPr>
        <w:jc w:val="both"/>
        <w:rPr>
          <w:rFonts w:asciiTheme="majorHAnsi" w:hAnsiTheme="majorHAnsi" w:cs="Arial"/>
          <w:sz w:val="24"/>
          <w:szCs w:val="24"/>
        </w:rPr>
      </w:pPr>
      <w:r w:rsidRPr="00206551">
        <w:rPr>
          <w:rFonts w:asciiTheme="majorHAnsi" w:hAnsiTheme="majorHAnsi" w:cs="Arial"/>
          <w:sz w:val="24"/>
          <w:szCs w:val="24"/>
        </w:rPr>
        <w:t>poznawcze</w:t>
      </w:r>
    </w:p>
    <w:p w:rsidR="00F93720" w:rsidRPr="00206551" w:rsidRDefault="00F93720" w:rsidP="00F93720">
      <w:pPr>
        <w:pStyle w:val="Akapitzlist"/>
        <w:numPr>
          <w:ilvl w:val="0"/>
          <w:numId w:val="1"/>
        </w:numPr>
        <w:jc w:val="both"/>
        <w:rPr>
          <w:rFonts w:asciiTheme="majorHAnsi" w:hAnsiTheme="majorHAnsi" w:cs="Arial"/>
          <w:sz w:val="24"/>
          <w:szCs w:val="24"/>
        </w:rPr>
      </w:pPr>
      <w:r w:rsidRPr="00206551">
        <w:rPr>
          <w:rFonts w:asciiTheme="majorHAnsi" w:hAnsiTheme="majorHAnsi" w:cs="Arial"/>
          <w:sz w:val="24"/>
          <w:szCs w:val="24"/>
        </w:rPr>
        <w:t>behawioralne</w:t>
      </w:r>
    </w:p>
    <w:p w:rsidR="00F93720" w:rsidRPr="00206551" w:rsidRDefault="00F93720" w:rsidP="00F93720">
      <w:pPr>
        <w:pStyle w:val="Akapitzlist"/>
        <w:numPr>
          <w:ilvl w:val="0"/>
          <w:numId w:val="1"/>
        </w:numPr>
        <w:jc w:val="both"/>
        <w:rPr>
          <w:rFonts w:asciiTheme="majorHAnsi" w:hAnsiTheme="majorHAnsi" w:cs="Arial"/>
          <w:sz w:val="24"/>
          <w:szCs w:val="24"/>
        </w:rPr>
      </w:pPr>
      <w:r w:rsidRPr="00206551">
        <w:rPr>
          <w:rFonts w:asciiTheme="majorHAnsi" w:hAnsiTheme="majorHAnsi" w:cs="Arial"/>
          <w:sz w:val="24"/>
          <w:szCs w:val="24"/>
        </w:rPr>
        <w:lastRenderedPageBreak/>
        <w:t>fizjologiczne.</w:t>
      </w:r>
    </w:p>
    <w:p w:rsidR="00F93720" w:rsidRPr="00206551" w:rsidRDefault="00F93720" w:rsidP="00F93720">
      <w:pPr>
        <w:pStyle w:val="Akapitzlist"/>
        <w:jc w:val="both"/>
        <w:rPr>
          <w:rFonts w:asciiTheme="majorHAnsi" w:hAnsiTheme="majorHAnsi" w:cs="Arial"/>
          <w:sz w:val="24"/>
          <w:szCs w:val="24"/>
        </w:rPr>
      </w:pPr>
    </w:p>
    <w:p w:rsidR="00F93720" w:rsidRPr="00206551" w:rsidRDefault="00F93720" w:rsidP="00F93720">
      <w:pPr>
        <w:pStyle w:val="Akapitzlist"/>
        <w:numPr>
          <w:ilvl w:val="0"/>
          <w:numId w:val="2"/>
        </w:numPr>
        <w:jc w:val="both"/>
        <w:rPr>
          <w:rFonts w:asciiTheme="majorHAnsi" w:hAnsiTheme="majorHAnsi" w:cs="Arial"/>
          <w:sz w:val="24"/>
          <w:szCs w:val="24"/>
        </w:rPr>
      </w:pPr>
      <w:r w:rsidRPr="00206551">
        <w:rPr>
          <w:rFonts w:asciiTheme="majorHAnsi" w:hAnsiTheme="majorHAnsi" w:cs="Arial"/>
          <w:sz w:val="24"/>
          <w:szCs w:val="24"/>
        </w:rPr>
        <w:t>Symptomy fizyczne: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siniaki na ciele dziecka (przede wszystkim na plecach, ramionach i udach) – świeże i w późnej</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fazie gojenia, duże otarcia naskórka,</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specyficzne ślady na skórze przypominające blizny po ospie, a będące pozostałościami po parzeniu dziecka papierosem,</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oderwane małżowiny uszne, tzw. uszy zapaśnika (zniekształcone małżowiny od uderzania dziecka w uszy), pozbawione włosów miejsca na głowie, złamana przegroda nosowa, złamania palców dłoni, wszelkie wielokrotne złamania kości, wylewy krwawe do gałek ocznych</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odparzenia na skórze wynikające z zaniedbań higienicznych, niezaopatrzone rany, ślady ugryzień przez człowieka, ślady duszenia, krępowania</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oparzenia rękawiczkowo-skarpetkowe oraz zlokalizowane na pośladkach i w dolnej części</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pleców,</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zaburzenia psychosomatyczne, bóle wędrujące,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przemęczenie,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problemy z trawieniem,</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blizny po samookaleczeniu.</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2. Symptomy w sferze emocjonalnej:</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trudności w rozumieniu i wyrażaniu emocji przez dziecko</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negatywny obraz siebie,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negatywne myśli na temat siebie i innych,</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przygnębienie,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strachliwość i agresja, gniew,</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problemy z samoregulacją emocji,</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oszołomienie, otępienie,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brak poczucia bezpieczeństwa,</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smutek, apatia,</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stany lękowe,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stany depresyjne.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3. Symptomy w sferze poznawczej:</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lastRenderedPageBreak/>
        <w:t>- trudności w nauce – pojawiające się nagle,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problemy z koncentracją, pamięcią,</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problemy z logicznym myśleniem,</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problemy z rozwiązywaniem problemów,</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trudności w ukończeniu zadanej pracy,</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nieodrabianie lekcji,</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nieprzygotowanie do zajęć czego efektem są gorsze oceny szkolne.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4. Symptomy w sferze behawioralnej:</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problemy z subordynacją oraz podporządkowaniem wobec obowiązujących reguł – obrażenie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się, uciekanie z lekcji, negatywne interakcje z rówieśnikami oraz z nauczycielami,</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dziwne reakcje na chęć niesienia pomocy, nieufność,</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wycofanie,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ogólna nieufność wobec ludzi,</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zachowania buntownicze i agresywne,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problemy z komunikacją,</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sięganie po substancje psychoaktywne.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5. Objawy molestowania seksualnego:</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chroniczny ból,</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zaburzenia układu pokarmowego,</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migreny lub inne częste bóle głowy,</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komplikacje ginekologiczne,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otarcia na wewnętrznej stronie ud,</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szok, lęk,</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niepokój,</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zagubienie,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wyparcie traumatycznych przeżyć,</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wycofanie,</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poczucie wstydu,</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t>- obwinianie się,</w:t>
      </w:r>
    </w:p>
    <w:p w:rsidR="00F93720" w:rsidRPr="00206551" w:rsidRDefault="00F93720" w:rsidP="00F93720">
      <w:pPr>
        <w:jc w:val="both"/>
        <w:rPr>
          <w:rFonts w:asciiTheme="majorHAnsi" w:hAnsiTheme="majorHAnsi" w:cs="Arial"/>
          <w:sz w:val="24"/>
          <w:szCs w:val="24"/>
        </w:rPr>
      </w:pPr>
      <w:r w:rsidRPr="00206551">
        <w:rPr>
          <w:rFonts w:asciiTheme="majorHAnsi" w:hAnsiTheme="majorHAnsi" w:cs="Arial"/>
          <w:sz w:val="24"/>
          <w:szCs w:val="24"/>
        </w:rPr>
        <w:lastRenderedPageBreak/>
        <w:t xml:space="preserve">- </w:t>
      </w:r>
      <w:bookmarkStart w:id="0" w:name="_GoBack"/>
      <w:bookmarkEnd w:id="0"/>
      <w:r w:rsidRPr="00206551">
        <w:rPr>
          <w:rFonts w:asciiTheme="majorHAnsi" w:hAnsiTheme="majorHAnsi" w:cs="Arial"/>
          <w:sz w:val="24"/>
          <w:szCs w:val="24"/>
        </w:rPr>
        <w:t>nerwica lub ogólna nieufność wobec ludzi.</w:t>
      </w:r>
    </w:p>
    <w:p w:rsidR="00F74F6B" w:rsidRDefault="00F74F6B"/>
    <w:sectPr w:rsidR="00F74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40742"/>
    <w:multiLevelType w:val="hybridMultilevel"/>
    <w:tmpl w:val="6C628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0371A6"/>
    <w:multiLevelType w:val="hybridMultilevel"/>
    <w:tmpl w:val="38D47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20"/>
    <w:rsid w:val="00F74F6B"/>
    <w:rsid w:val="00F93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97BB"/>
  <w15:chartTrackingRefBased/>
  <w15:docId w15:val="{0A4AFB8B-2575-495E-9211-FB2824BC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720"/>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93720"/>
    <w:pPr>
      <w:ind w:left="720"/>
      <w:contextualSpacing/>
    </w:pPr>
  </w:style>
  <w:style w:type="character" w:customStyle="1" w:styleId="AkapitzlistZnak">
    <w:name w:val="Akapit z listą Znak"/>
    <w:link w:val="Akapitzlist"/>
    <w:uiPriority w:val="34"/>
    <w:rsid w:val="00F9372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4350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2025-02-24T14:09:00Z</dcterms:created>
  <dcterms:modified xsi:type="dcterms:W3CDTF">2025-02-24T14:10:00Z</dcterms:modified>
</cp:coreProperties>
</file>