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9E" w:rsidRPr="00A52798" w:rsidRDefault="00B07A9E" w:rsidP="00B07A9E">
      <w:pPr>
        <w:spacing w:before="56" w:after="0" w:line="276" w:lineRule="auto"/>
        <w:ind w:right="1094"/>
        <w:jc w:val="right"/>
        <w:rPr>
          <w:rFonts w:asciiTheme="majorHAnsi" w:eastAsia="Calibri" w:hAnsiTheme="majorHAnsi" w:cstheme="minorHAnsi"/>
          <w:i/>
          <w:sz w:val="18"/>
          <w:szCs w:val="18"/>
          <w14:ligatures w14:val="none"/>
        </w:rPr>
      </w:pPr>
      <w:r w:rsidRPr="00A52798">
        <w:rPr>
          <w:rFonts w:asciiTheme="majorHAnsi" w:eastAsia="Calibri" w:hAnsiTheme="majorHAnsi" w:cstheme="minorHAnsi"/>
          <w:i/>
          <w:sz w:val="18"/>
          <w:szCs w:val="18"/>
          <w14:ligatures w14:val="none"/>
        </w:rPr>
        <w:t xml:space="preserve">Załącznik Nr 1 </w:t>
      </w:r>
      <w:r w:rsidRPr="00A52798">
        <w:rPr>
          <w:rFonts w:asciiTheme="majorHAnsi" w:eastAsia="Calibri" w:hAnsiTheme="majorHAnsi" w:cstheme="minorHAnsi"/>
          <w:i/>
          <w:spacing w:val="-34"/>
          <w:sz w:val="18"/>
          <w:szCs w:val="18"/>
          <w14:ligatures w14:val="none"/>
        </w:rPr>
        <w:t xml:space="preserve"> </w:t>
      </w:r>
      <w:r w:rsidRPr="00A52798">
        <w:rPr>
          <w:rFonts w:asciiTheme="majorHAnsi" w:eastAsia="Calibri" w:hAnsiTheme="majorHAnsi" w:cstheme="minorHAnsi"/>
          <w:i/>
          <w:sz w:val="18"/>
          <w:szCs w:val="18"/>
          <w14:ligatures w14:val="none"/>
        </w:rPr>
        <w:t>do</w:t>
      </w:r>
      <w:r w:rsidRPr="00A52798">
        <w:rPr>
          <w:rFonts w:asciiTheme="majorHAnsi" w:eastAsia="Calibri" w:hAnsiTheme="majorHAnsi" w:cstheme="minorHAnsi"/>
          <w:i/>
          <w:spacing w:val="-4"/>
          <w:sz w:val="18"/>
          <w:szCs w:val="18"/>
          <w14:ligatures w14:val="none"/>
        </w:rPr>
        <w:t xml:space="preserve"> </w:t>
      </w:r>
      <w:r w:rsidRPr="00A52798">
        <w:rPr>
          <w:rFonts w:asciiTheme="majorHAnsi" w:eastAsia="Calibri" w:hAnsiTheme="majorHAnsi" w:cstheme="minorHAnsi"/>
          <w:i/>
          <w:sz w:val="18"/>
          <w:szCs w:val="18"/>
          <w14:ligatures w14:val="none"/>
        </w:rPr>
        <w:t xml:space="preserve">Standardów ochrony dzieci </w:t>
      </w:r>
    </w:p>
    <w:p w:rsidR="00B07A9E" w:rsidRPr="00A52798" w:rsidRDefault="00B07A9E" w:rsidP="00B07A9E">
      <w:pPr>
        <w:spacing w:before="56" w:after="0" w:line="276" w:lineRule="auto"/>
        <w:ind w:right="1094"/>
        <w:jc w:val="right"/>
        <w:rPr>
          <w:rFonts w:asciiTheme="majorHAnsi" w:eastAsia="Calibri" w:hAnsiTheme="majorHAnsi" w:cstheme="minorHAnsi"/>
          <w:sz w:val="20"/>
          <w:szCs w:val="20"/>
          <w14:ligatures w14:val="none"/>
        </w:rPr>
      </w:pPr>
      <w:r w:rsidRPr="00A52798">
        <w:rPr>
          <w:rFonts w:asciiTheme="majorHAnsi" w:eastAsia="Calibri" w:hAnsiTheme="majorHAnsi" w:cstheme="minorHAnsi"/>
          <w:i/>
          <w:sz w:val="18"/>
          <w:szCs w:val="18"/>
          <w14:ligatures w14:val="none"/>
        </w:rPr>
        <w:t>w Miejskim Przedszkolu nr 3 w Zielonce</w:t>
      </w:r>
    </w:p>
    <w:p w:rsidR="00B07A9E" w:rsidRPr="00206551" w:rsidRDefault="00B07A9E" w:rsidP="00B07A9E">
      <w:pPr>
        <w:spacing w:before="120" w:after="0" w:line="392" w:lineRule="atLeast"/>
        <w:ind w:right="480"/>
        <w:jc w:val="both"/>
        <w:rPr>
          <w:rFonts w:asciiTheme="majorHAnsi" w:eastAsia="Times New Roman" w:hAnsiTheme="majorHAnsi" w:cstheme="minorHAnsi"/>
          <w:b/>
          <w:bCs/>
          <w:kern w:val="0"/>
          <w:sz w:val="40"/>
          <w:szCs w:val="40"/>
          <w:lang w:eastAsia="pl-PL"/>
          <w14:ligatures w14:val="none"/>
        </w:rPr>
      </w:pPr>
      <w:r w:rsidRPr="00206551">
        <w:rPr>
          <w:rFonts w:asciiTheme="majorHAnsi" w:eastAsia="Times New Roman" w:hAnsiTheme="majorHAnsi" w:cstheme="minorHAnsi"/>
          <w:b/>
          <w:bCs/>
          <w:kern w:val="0"/>
          <w:sz w:val="40"/>
          <w:szCs w:val="40"/>
          <w:lang w:eastAsia="pl-PL"/>
          <w14:ligatures w14:val="none"/>
        </w:rPr>
        <w:t>CZYNNIKI RYZYKA KRZYWDZENIA DZIECKA</w:t>
      </w:r>
    </w:p>
    <w:p w:rsidR="00B07A9E" w:rsidRPr="00206551" w:rsidRDefault="00B07A9E" w:rsidP="00B07A9E">
      <w:pPr>
        <w:spacing w:before="120" w:after="0" w:line="392" w:lineRule="atLeast"/>
        <w:ind w:right="480"/>
        <w:jc w:val="both"/>
        <w:rPr>
          <w:rFonts w:asciiTheme="majorHAnsi" w:eastAsia="Times New Roman" w:hAnsiTheme="majorHAnsi" w:cstheme="minorHAnsi"/>
          <w:kern w:val="0"/>
          <w:sz w:val="24"/>
          <w:szCs w:val="24"/>
          <w:lang w:eastAsia="pl-PL"/>
          <w14:ligatures w14:val="none"/>
        </w:rPr>
      </w:pPr>
      <w:r w:rsidRPr="00206551">
        <w:rPr>
          <w:rFonts w:asciiTheme="majorHAnsi" w:eastAsia="Times New Roman" w:hAnsiTheme="majorHAnsi" w:cstheme="minorHAnsi"/>
          <w:kern w:val="0"/>
          <w:sz w:val="24"/>
          <w:szCs w:val="24"/>
          <w:lang w:eastAsia="pl-PL"/>
          <w14:ligatures w14:val="none"/>
        </w:rPr>
        <w:t>Choć dziecko nigdy nie jest winne doznawanej krzywdy, uznaje się, że niektóre jego cechy, związane np. ze stanem zdrowia, poziomem rozwoju, funkcjonowaniem czy pozycją w rodzinie, mogą bardziej narażać je na doświadczanie przemocy.</w:t>
      </w:r>
    </w:p>
    <w:p w:rsidR="00B07A9E" w:rsidRPr="00206551" w:rsidRDefault="00B07A9E" w:rsidP="00B07A9E">
      <w:pPr>
        <w:spacing w:before="120" w:after="0" w:line="392" w:lineRule="atLeast"/>
        <w:ind w:right="480"/>
        <w:jc w:val="both"/>
        <w:rPr>
          <w:rFonts w:asciiTheme="majorHAnsi" w:eastAsia="Times New Roman" w:hAnsiTheme="majorHAnsi" w:cstheme="minorHAnsi"/>
          <w:kern w:val="0"/>
          <w:sz w:val="24"/>
          <w:szCs w:val="24"/>
          <w:lang w:eastAsia="pl-PL"/>
          <w14:ligatures w14:val="none"/>
        </w:rPr>
      </w:pPr>
      <w:r w:rsidRPr="00206551">
        <w:rPr>
          <w:rFonts w:asciiTheme="majorHAnsi" w:eastAsia="Times New Roman" w:hAnsiTheme="majorHAnsi" w:cstheme="minorHAnsi"/>
          <w:kern w:val="0"/>
          <w:sz w:val="24"/>
          <w:szCs w:val="24"/>
          <w:lang w:eastAsia="pl-PL"/>
          <w14:ligatures w14:val="none"/>
        </w:rPr>
        <w:t>Wyodrębnia się trzy grupy czynników ryzyka, które mogą wskazywać na zagrożenie pojawienia się przemocy:</w:t>
      </w:r>
    </w:p>
    <w:p w:rsidR="00B07A9E" w:rsidRPr="00206551" w:rsidRDefault="00B07A9E" w:rsidP="00B07A9E">
      <w:pPr>
        <w:spacing w:before="120" w:after="0" w:line="392" w:lineRule="atLeast"/>
        <w:ind w:right="480"/>
        <w:jc w:val="both"/>
        <w:rPr>
          <w:rFonts w:asciiTheme="majorHAnsi" w:eastAsia="Times New Roman" w:hAnsiTheme="majorHAnsi" w:cstheme="minorHAnsi"/>
          <w:b/>
          <w:bCs/>
          <w:kern w:val="0"/>
          <w:sz w:val="24"/>
          <w:szCs w:val="24"/>
          <w:lang w:eastAsia="pl-PL"/>
          <w14:ligatures w14:val="none"/>
        </w:rPr>
      </w:pPr>
      <w:r w:rsidRPr="00206551">
        <w:rPr>
          <w:rFonts w:asciiTheme="majorHAnsi" w:eastAsia="Times New Roman" w:hAnsiTheme="majorHAnsi" w:cstheme="minorHAnsi"/>
          <w:b/>
          <w:bCs/>
          <w:kern w:val="0"/>
          <w:sz w:val="24"/>
          <w:szCs w:val="24"/>
          <w:lang w:eastAsia="pl-PL"/>
          <w14:ligatures w14:val="none"/>
        </w:rPr>
        <w:t>CZYNNIKI ZWIĄZANE Z DZIECKIEM</w:t>
      </w:r>
    </w:p>
    <w:tbl>
      <w:tblPr>
        <w:tblStyle w:val="Tabela-Siatka"/>
        <w:tblW w:w="0" w:type="auto"/>
        <w:tblLook w:val="04A0" w:firstRow="1" w:lastRow="0" w:firstColumn="1" w:lastColumn="0" w:noHBand="0" w:noVBand="1"/>
      </w:tblPr>
      <w:tblGrid>
        <w:gridCol w:w="4531"/>
        <w:gridCol w:w="4531"/>
      </w:tblGrid>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b/>
                <w:bCs/>
                <w:sz w:val="24"/>
                <w:szCs w:val="24"/>
                <w:lang w:eastAsia="pl-PL"/>
              </w:rPr>
            </w:pPr>
            <w:r w:rsidRPr="00206551">
              <w:rPr>
                <w:rFonts w:asciiTheme="majorHAnsi" w:eastAsia="Times New Roman" w:hAnsiTheme="majorHAnsi" w:cstheme="minorHAnsi"/>
                <w:b/>
                <w:bCs/>
                <w:sz w:val="24"/>
                <w:szCs w:val="24"/>
                <w:lang w:eastAsia="pl-PL"/>
              </w:rPr>
              <w:t xml:space="preserve">Czynniki ryzyka </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b/>
                <w:bCs/>
                <w:sz w:val="24"/>
                <w:szCs w:val="24"/>
                <w:lang w:eastAsia="pl-PL"/>
              </w:rPr>
            </w:pPr>
            <w:r w:rsidRPr="00206551">
              <w:rPr>
                <w:rFonts w:asciiTheme="majorHAnsi" w:eastAsia="Times New Roman" w:hAnsiTheme="majorHAnsi" w:cstheme="minorHAnsi"/>
                <w:b/>
                <w:bCs/>
                <w:sz w:val="24"/>
                <w:szCs w:val="24"/>
                <w:lang w:eastAsia="pl-PL"/>
              </w:rPr>
              <w:t>Opis</w:t>
            </w:r>
          </w:p>
        </w:tc>
      </w:tr>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Przedwczesny poród,</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poród bez pomocy medycznej</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niska waga urodzeniowa</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poród z ciąży bliźniaczej lub mnogiej</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krótkie przerwy pomiędzy kolejnymi porodami</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Długotrwały płacz</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Nadmierna płaczliwość dziecka z kolei budzi bezradność, poczucie winy rodzica; stany te mogą zamienić się w złość, bezsilność, a w konsekwencji wywołać agresję wobec dziecka czy jego odrzucenie</w:t>
            </w:r>
          </w:p>
        </w:tc>
      </w:tr>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Wiek dziecka</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 xml:space="preserve">Czynnikiem ryzyka krzywdzenia może być także określony wiek dziecka. W rozwoju dziecka występują tzw. okresy krytyczne, w których jest większe prawdopodobieństwo pojawienia się pewnych rodzajów krzywdzenia. Najmłodsze dzieci (do 3 r. ż.) są bardziej </w:t>
            </w:r>
            <w:r w:rsidRPr="00206551">
              <w:rPr>
                <w:rFonts w:asciiTheme="majorHAnsi" w:eastAsia="Times New Roman" w:hAnsiTheme="majorHAnsi" w:cstheme="minorHAnsi"/>
                <w:sz w:val="24"/>
                <w:szCs w:val="24"/>
                <w:lang w:eastAsia="pl-PL"/>
              </w:rPr>
              <w:lastRenderedPageBreak/>
              <w:t>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lastRenderedPageBreak/>
              <w:t>Przewlekłe choroby</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Niepełnosprawność intelektualna</w:t>
            </w:r>
          </w:p>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Niepełnosprawność ruchowa</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Okolicznością zwiększającą ryzyko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B07A9E" w:rsidRPr="00206551" w:rsidTr="00986611">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Choroby psychiczne</w:t>
            </w:r>
          </w:p>
        </w:tc>
        <w:tc>
          <w:tcPr>
            <w:tcW w:w="4531" w:type="dxa"/>
          </w:tcPr>
          <w:p w:rsidR="00B07A9E" w:rsidRPr="00206551" w:rsidRDefault="00B07A9E" w:rsidP="00986611">
            <w:pPr>
              <w:spacing w:before="120" w:line="392" w:lineRule="atLeast"/>
              <w:ind w:right="480"/>
              <w:jc w:val="both"/>
              <w:rPr>
                <w:rFonts w:asciiTheme="majorHAnsi" w:eastAsia="Times New Roman" w:hAnsiTheme="majorHAnsi" w:cstheme="minorHAnsi"/>
                <w:sz w:val="24"/>
                <w:szCs w:val="24"/>
                <w:lang w:eastAsia="pl-PL"/>
              </w:rPr>
            </w:pPr>
            <w:r w:rsidRPr="00206551">
              <w:rPr>
                <w:rFonts w:asciiTheme="majorHAnsi" w:eastAsia="Times New Roman" w:hAnsiTheme="majorHAnsi" w:cstheme="minorHAnsi"/>
                <w:sz w:val="24"/>
                <w:szCs w:val="24"/>
                <w:lang w:eastAsia="pl-PL"/>
              </w:rPr>
              <w:t xml:space="preserve">Kolejnym czynnikiem ryzyka są choroby psychiczne dziecka. Wystąpienie u dziecka zaburzeń psychicznych wiąże się </w:t>
            </w:r>
            <w:r w:rsidRPr="00206551">
              <w:rPr>
                <w:rFonts w:asciiTheme="majorHAnsi" w:eastAsia="Times New Roman" w:hAnsiTheme="majorHAnsi" w:cstheme="minorHAnsi"/>
                <w:sz w:val="24"/>
                <w:szCs w:val="24"/>
                <w:lang w:eastAsia="pl-PL"/>
              </w:rPr>
              <w:lastRenderedPageBreak/>
              <w:t xml:space="preserve">z wysokim poziomem stresu i lęku w rodzinie. Łatwo wtedy o eskalację trudnych </w:t>
            </w:r>
            <w:proofErr w:type="spellStart"/>
            <w:r w:rsidRPr="00206551">
              <w:rPr>
                <w:rFonts w:asciiTheme="majorHAnsi" w:eastAsia="Times New Roman" w:hAnsiTheme="majorHAnsi" w:cstheme="minorHAnsi"/>
                <w:sz w:val="24"/>
                <w:szCs w:val="24"/>
                <w:lang w:eastAsia="pl-PL"/>
              </w:rPr>
              <w:t>zachowań</w:t>
            </w:r>
            <w:proofErr w:type="spellEnd"/>
            <w:r w:rsidRPr="00206551">
              <w:rPr>
                <w:rFonts w:asciiTheme="majorHAnsi" w:eastAsia="Times New Roman" w:hAnsiTheme="majorHAnsi" w:cstheme="minorHAnsi"/>
                <w:sz w:val="24"/>
                <w:szCs w:val="24"/>
                <w:lang w:eastAsia="pl-PL"/>
              </w:rPr>
              <w:t xml:space="preserve"> pozostałych domowników, np. agresji i przemocy – zarówno fizycznej, jak i słownej</w:t>
            </w:r>
          </w:p>
        </w:tc>
      </w:tr>
    </w:tbl>
    <w:p w:rsidR="00B07A9E" w:rsidRPr="00206551" w:rsidRDefault="00B07A9E" w:rsidP="00B07A9E">
      <w:pPr>
        <w:spacing w:before="120" w:after="0" w:line="392" w:lineRule="atLeast"/>
        <w:ind w:right="480"/>
        <w:jc w:val="both"/>
        <w:rPr>
          <w:rFonts w:asciiTheme="majorHAnsi" w:eastAsia="Times New Roman" w:hAnsiTheme="majorHAnsi" w:cstheme="minorHAnsi"/>
          <w:kern w:val="0"/>
          <w:sz w:val="24"/>
          <w:szCs w:val="24"/>
          <w:lang w:eastAsia="pl-PL"/>
          <w14:ligatures w14:val="none"/>
        </w:rPr>
      </w:pPr>
    </w:p>
    <w:p w:rsidR="00B07A9E" w:rsidRPr="00206551" w:rsidRDefault="00B07A9E" w:rsidP="00B07A9E">
      <w:pPr>
        <w:jc w:val="both"/>
        <w:rPr>
          <w:rFonts w:asciiTheme="majorHAnsi" w:hAnsiTheme="majorHAnsi" w:cs="Arial"/>
          <w:sz w:val="24"/>
          <w:szCs w:val="24"/>
        </w:rPr>
      </w:pPr>
      <w:r w:rsidRPr="00206551">
        <w:rPr>
          <w:rFonts w:asciiTheme="majorHAnsi" w:hAnsiTheme="majorHAnsi" w:cs="Arial"/>
          <w:b/>
          <w:bCs/>
          <w:sz w:val="24"/>
          <w:szCs w:val="24"/>
        </w:rPr>
        <w:t>CZYNNIKI RODZINNE</w:t>
      </w:r>
      <w:r w:rsidRPr="00206551">
        <w:rPr>
          <w:rFonts w:asciiTheme="majorHAnsi" w:hAnsiTheme="majorHAnsi" w:cs="Arial"/>
          <w:sz w:val="24"/>
          <w:szCs w:val="24"/>
        </w:rPr>
        <w:t xml:space="preserve"> czyli cechy charakteryzujące funkcjonowanie rodziny oraz cechy</w:t>
      </w:r>
    </w:p>
    <w:p w:rsidR="00B07A9E" w:rsidRPr="00206551" w:rsidRDefault="00B07A9E" w:rsidP="00B07A9E">
      <w:pPr>
        <w:jc w:val="both"/>
        <w:rPr>
          <w:rFonts w:asciiTheme="majorHAnsi" w:hAnsiTheme="majorHAnsi" w:cs="Arial"/>
          <w:sz w:val="24"/>
          <w:szCs w:val="24"/>
        </w:rPr>
      </w:pPr>
      <w:r w:rsidRPr="00206551">
        <w:rPr>
          <w:rFonts w:asciiTheme="majorHAnsi" w:hAnsiTheme="majorHAnsi" w:cs="Arial"/>
          <w:sz w:val="24"/>
          <w:szCs w:val="24"/>
        </w:rPr>
        <w:t>poszczególnych jej członków</w:t>
      </w:r>
    </w:p>
    <w:tbl>
      <w:tblPr>
        <w:tblStyle w:val="Tabela-Siatka"/>
        <w:tblW w:w="0" w:type="auto"/>
        <w:tblLook w:val="04A0" w:firstRow="1" w:lastRow="0" w:firstColumn="1" w:lastColumn="0" w:noHBand="0" w:noVBand="1"/>
      </w:tblPr>
      <w:tblGrid>
        <w:gridCol w:w="4531"/>
        <w:gridCol w:w="4531"/>
      </w:tblGrid>
      <w:tr w:rsidR="00B07A9E" w:rsidRPr="00206551" w:rsidTr="00986611">
        <w:tc>
          <w:tcPr>
            <w:tcW w:w="4531" w:type="dxa"/>
          </w:tcPr>
          <w:p w:rsidR="00B07A9E" w:rsidRPr="00206551" w:rsidRDefault="00B07A9E" w:rsidP="00986611">
            <w:pPr>
              <w:jc w:val="both"/>
              <w:rPr>
                <w:rFonts w:asciiTheme="majorHAnsi" w:hAnsiTheme="majorHAnsi" w:cs="Arial"/>
                <w:b/>
                <w:bCs/>
                <w:sz w:val="24"/>
                <w:szCs w:val="24"/>
              </w:rPr>
            </w:pPr>
            <w:r w:rsidRPr="00206551">
              <w:rPr>
                <w:rFonts w:asciiTheme="majorHAnsi" w:hAnsiTheme="majorHAnsi" w:cs="Arial"/>
                <w:b/>
                <w:bCs/>
                <w:sz w:val="24"/>
                <w:szCs w:val="24"/>
              </w:rPr>
              <w:t>Czynniki ryzyka</w:t>
            </w:r>
          </w:p>
        </w:tc>
        <w:tc>
          <w:tcPr>
            <w:tcW w:w="4531" w:type="dxa"/>
          </w:tcPr>
          <w:p w:rsidR="00B07A9E" w:rsidRPr="00206551" w:rsidRDefault="00B07A9E" w:rsidP="00986611">
            <w:pPr>
              <w:jc w:val="both"/>
              <w:rPr>
                <w:rFonts w:asciiTheme="majorHAnsi" w:hAnsiTheme="majorHAnsi" w:cs="Arial"/>
                <w:b/>
                <w:bCs/>
                <w:sz w:val="24"/>
                <w:szCs w:val="24"/>
              </w:rPr>
            </w:pPr>
            <w:r w:rsidRPr="00206551">
              <w:rPr>
                <w:rFonts w:asciiTheme="majorHAnsi" w:hAnsiTheme="majorHAnsi" w:cs="Arial"/>
                <w:b/>
                <w:bCs/>
                <w:sz w:val="24"/>
                <w:szCs w:val="24"/>
              </w:rPr>
              <w:t>Opis</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Nieobecność rodziców</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Autorytarny styl rodzicielstwa</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Doświadczanie przez rodzica przemocy w dzieciństwie</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Kondycja psychiczna rodziców</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 xml:space="preserve">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w:t>
            </w:r>
            <w:proofErr w:type="spellStart"/>
            <w:r w:rsidRPr="00206551">
              <w:rPr>
                <w:rFonts w:asciiTheme="majorHAnsi" w:hAnsiTheme="majorHAnsi" w:cs="Arial"/>
                <w:sz w:val="24"/>
                <w:szCs w:val="24"/>
              </w:rPr>
              <w:t>zachowań</w:t>
            </w:r>
            <w:proofErr w:type="spellEnd"/>
            <w:r w:rsidRPr="00206551">
              <w:rPr>
                <w:rFonts w:asciiTheme="majorHAnsi" w:hAnsiTheme="majorHAnsi" w:cs="Arial"/>
                <w:sz w:val="24"/>
                <w:szCs w:val="24"/>
              </w:rPr>
              <w:t xml:space="preserve"> wobec dzieci i wejście w rolę sprawcy.</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 xml:space="preserve">Uzależnienia </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Inne zaburzenia psychiczne rodzica</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Konflikty</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Kryzysy</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Uzależnienia i inne zaburzenia psychiczne rodzica są przyczyną większego ryzyka doświadczenia przez dziecko przemocy. Agresji w rodzinie sprzyjają też konflikty i kryzysy</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Samotne rodzicielstwo</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Obecność niespokrewnionych osób</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dorosłych w rodzinie</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 xml:space="preserve">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w:t>
            </w:r>
            <w:r w:rsidRPr="00206551">
              <w:rPr>
                <w:rFonts w:asciiTheme="majorHAnsi" w:hAnsiTheme="majorHAnsi" w:cs="Arial"/>
                <w:sz w:val="24"/>
                <w:szCs w:val="24"/>
              </w:rPr>
              <w:lastRenderedPageBreak/>
              <w:t>brak wsparcia, obecność niespokrewnionych z dzieckiem osób, mogą powodować ryzyko wystąpienia odrzucenia i agresji lub nieprawidłowych relacji.</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lastRenderedPageBreak/>
              <w:t>Rodzina zastępcza</w:t>
            </w:r>
          </w:p>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Rodzina adopcyjna</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Istotnym czynnikiem ryzyka jest obecność dziecka w nieprzygotowanej wychowawczo i merytorycznie rodzinie zastępczej czy adopcyjnej. Rodzice 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 Swoim zachowaniem często prowokują do odrzucenia czy ukarania, by utwierdzić się w przekonaniach. Kary reaktywują  wcześniejsze traumy dziecka i dezorganizują jego zachowanie, względem którego rodzice są bezradni.</w:t>
            </w:r>
          </w:p>
        </w:tc>
      </w:tr>
    </w:tbl>
    <w:p w:rsidR="00B07A9E" w:rsidRPr="00206551" w:rsidRDefault="00B07A9E" w:rsidP="00B07A9E">
      <w:pPr>
        <w:jc w:val="both"/>
        <w:rPr>
          <w:rFonts w:asciiTheme="majorHAnsi" w:hAnsiTheme="majorHAnsi" w:cs="Arial"/>
          <w:sz w:val="24"/>
          <w:szCs w:val="24"/>
        </w:rPr>
      </w:pPr>
    </w:p>
    <w:p w:rsidR="00B07A9E" w:rsidRPr="00B07A9E" w:rsidRDefault="00B07A9E" w:rsidP="00B07A9E">
      <w:pPr>
        <w:jc w:val="both"/>
        <w:rPr>
          <w:rFonts w:asciiTheme="majorHAnsi" w:hAnsiTheme="majorHAnsi" w:cs="Arial"/>
          <w:b/>
          <w:bCs/>
          <w:sz w:val="24"/>
          <w:szCs w:val="24"/>
        </w:rPr>
      </w:pPr>
      <w:r w:rsidRPr="00206551">
        <w:rPr>
          <w:rFonts w:asciiTheme="majorHAnsi" w:hAnsiTheme="majorHAnsi" w:cs="Arial"/>
          <w:b/>
          <w:bCs/>
          <w:sz w:val="24"/>
          <w:szCs w:val="24"/>
        </w:rPr>
        <w:t>CZYNNIKI ZWIĄZANE ZE ŚRODOWISKIEM SPOŁECZNYM</w:t>
      </w:r>
      <w:bookmarkStart w:id="0" w:name="_GoBack"/>
      <w:bookmarkEnd w:id="0"/>
    </w:p>
    <w:tbl>
      <w:tblPr>
        <w:tblStyle w:val="Tabela-Siatka"/>
        <w:tblW w:w="0" w:type="auto"/>
        <w:tblLook w:val="04A0" w:firstRow="1" w:lastRow="0" w:firstColumn="1" w:lastColumn="0" w:noHBand="0" w:noVBand="1"/>
      </w:tblPr>
      <w:tblGrid>
        <w:gridCol w:w="4531"/>
        <w:gridCol w:w="4531"/>
      </w:tblGrid>
      <w:tr w:rsidR="00B07A9E" w:rsidRPr="00206551" w:rsidTr="00986611">
        <w:tc>
          <w:tcPr>
            <w:tcW w:w="4531" w:type="dxa"/>
          </w:tcPr>
          <w:p w:rsidR="00B07A9E" w:rsidRPr="00206551" w:rsidRDefault="00B07A9E" w:rsidP="00986611">
            <w:pPr>
              <w:jc w:val="both"/>
              <w:rPr>
                <w:rFonts w:asciiTheme="majorHAnsi" w:hAnsiTheme="majorHAnsi" w:cs="Arial"/>
                <w:b/>
                <w:bCs/>
                <w:sz w:val="24"/>
                <w:szCs w:val="24"/>
              </w:rPr>
            </w:pPr>
            <w:r w:rsidRPr="00206551">
              <w:rPr>
                <w:rFonts w:asciiTheme="majorHAnsi" w:hAnsiTheme="majorHAnsi" w:cs="Arial"/>
                <w:b/>
                <w:bCs/>
                <w:sz w:val="24"/>
                <w:szCs w:val="24"/>
              </w:rPr>
              <w:t xml:space="preserve">Czynniki ryzyka </w:t>
            </w:r>
          </w:p>
        </w:tc>
        <w:tc>
          <w:tcPr>
            <w:tcW w:w="4531" w:type="dxa"/>
          </w:tcPr>
          <w:p w:rsidR="00B07A9E" w:rsidRPr="00206551" w:rsidRDefault="00B07A9E" w:rsidP="00986611">
            <w:pPr>
              <w:jc w:val="both"/>
              <w:rPr>
                <w:rFonts w:asciiTheme="majorHAnsi" w:hAnsiTheme="majorHAnsi" w:cs="Arial"/>
                <w:b/>
                <w:bCs/>
                <w:sz w:val="24"/>
                <w:szCs w:val="24"/>
              </w:rPr>
            </w:pPr>
            <w:r w:rsidRPr="00206551">
              <w:rPr>
                <w:rFonts w:asciiTheme="majorHAnsi" w:hAnsiTheme="majorHAnsi" w:cs="Arial"/>
                <w:b/>
                <w:bCs/>
                <w:sz w:val="24"/>
                <w:szCs w:val="24"/>
              </w:rPr>
              <w:t>Opis</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Izolacja społeczna</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 xml:space="preserve">Ubóstwo w najbliższym otoczeniu </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B07A9E" w:rsidRPr="00206551" w:rsidTr="00986611">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Przemoc i patologia</w:t>
            </w:r>
          </w:p>
        </w:tc>
        <w:tc>
          <w:tcPr>
            <w:tcW w:w="4531" w:type="dxa"/>
          </w:tcPr>
          <w:p w:rsidR="00B07A9E" w:rsidRPr="00206551" w:rsidRDefault="00B07A9E" w:rsidP="00986611">
            <w:pPr>
              <w:jc w:val="both"/>
              <w:rPr>
                <w:rFonts w:asciiTheme="majorHAnsi" w:hAnsiTheme="majorHAnsi" w:cs="Arial"/>
                <w:sz w:val="24"/>
                <w:szCs w:val="24"/>
              </w:rPr>
            </w:pPr>
            <w:r w:rsidRPr="00206551">
              <w:rPr>
                <w:rFonts w:asciiTheme="majorHAnsi" w:hAnsiTheme="majorHAnsi" w:cs="Arial"/>
                <w:sz w:val="24"/>
                <w:szCs w:val="24"/>
              </w:rPr>
              <w:t>Czynnikami ryzyka krzywdzenia dziecka są także przemoc i patologia społeczna występujące w najbliższym środowisku zamieszkania</w:t>
            </w:r>
          </w:p>
        </w:tc>
      </w:tr>
    </w:tbl>
    <w:p w:rsidR="00B07A9E" w:rsidRPr="00206551" w:rsidRDefault="00B07A9E" w:rsidP="00B07A9E">
      <w:pPr>
        <w:spacing w:after="0" w:line="276" w:lineRule="auto"/>
        <w:ind w:right="510"/>
        <w:jc w:val="both"/>
        <w:rPr>
          <w:rFonts w:asciiTheme="majorHAnsi" w:eastAsia="Calibri" w:hAnsiTheme="majorHAnsi" w:cs="Calibri"/>
          <w:b/>
          <w:bCs/>
          <w:noProof/>
          <w:sz w:val="40"/>
          <w:szCs w:val="40"/>
          <w14:ligatures w14:val="none"/>
        </w:rPr>
      </w:pPr>
    </w:p>
    <w:p w:rsidR="00F74F6B" w:rsidRDefault="00F74F6B"/>
    <w:sectPr w:rsidR="00F7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9E"/>
    <w:rsid w:val="00B07A9E"/>
    <w:rsid w:val="00F74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F468"/>
  <w15:chartTrackingRefBased/>
  <w15:docId w15:val="{45AF33C6-AE93-4441-953D-D967CF1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7A9E"/>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07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5589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2025-02-24T14:06:00Z</dcterms:created>
  <dcterms:modified xsi:type="dcterms:W3CDTF">2025-02-24T14:07:00Z</dcterms:modified>
</cp:coreProperties>
</file>